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BEEAEA">
      <w:pPr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附件6</w:t>
      </w:r>
    </w:p>
    <w:p w14:paraId="76437CE5">
      <w:pPr>
        <w:jc w:val="center"/>
        <w:rPr>
          <w:rFonts w:ascii="华光大标宋_CNKI" w:hAnsi="华光大标宋_CNKI" w:eastAsia="华光大标宋_CNKI"/>
          <w:sz w:val="32"/>
          <w:szCs w:val="32"/>
        </w:rPr>
      </w:pPr>
      <w:r>
        <w:rPr>
          <w:rFonts w:hint="eastAsia" w:ascii="华光大标宋_CNKI" w:hAnsi="华光大标宋_CNKI" w:eastAsia="华光大标宋_CNKI"/>
          <w:sz w:val="32"/>
          <w:szCs w:val="32"/>
        </w:rPr>
        <w:t>中国国际大学生创新大赛校内选拔赛工作指引</w:t>
      </w:r>
    </w:p>
    <w:p w14:paraId="19BE9AD3"/>
    <w:p w14:paraId="3EBA813E">
      <w:pPr>
        <w:adjustRightInd w:val="0"/>
        <w:snapToGrid w:val="0"/>
        <w:spacing w:line="500" w:lineRule="exact"/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一、校级初赛流程</w:t>
      </w:r>
    </w:p>
    <w:p w14:paraId="29E2837E">
      <w:pPr>
        <w:adjustRightInd w:val="0"/>
        <w:snapToGrid w:val="0"/>
        <w:spacing w:line="5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校级初赛是创新大赛的关键环节，由各二级学院负责组织，核心在于高效完成项目动员、资格审核、公平评审与择优推荐，为更高层级赛事筛选优质项目</w:t>
      </w:r>
      <w:r>
        <w:rPr>
          <w:rFonts w:ascii="仿宋" w:hAnsi="仿宋" w:eastAsia="仿宋"/>
          <w:sz w:val="32"/>
          <w:szCs w:val="32"/>
        </w:rPr>
        <w:t>。</w:t>
      </w:r>
      <w:bookmarkStart w:id="2" w:name="_GoBack"/>
      <w:bookmarkEnd w:id="2"/>
    </w:p>
    <w:p w14:paraId="6E5D8CF3">
      <w:pPr>
        <w:adjustRightInd w:val="0"/>
        <w:snapToGrid w:val="0"/>
        <w:spacing w:line="500" w:lineRule="exact"/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1</w:t>
      </w:r>
      <w:r>
        <w:rPr>
          <w:rFonts w:ascii="仿宋" w:hAnsi="仿宋" w:eastAsia="仿宋"/>
          <w:b/>
          <w:sz w:val="32"/>
          <w:szCs w:val="32"/>
        </w:rPr>
        <w:t>.</w:t>
      </w:r>
      <w:r>
        <w:rPr>
          <w:rFonts w:hint="eastAsia" w:ascii="仿宋" w:hAnsi="仿宋" w:eastAsia="仿宋"/>
          <w:b/>
          <w:sz w:val="32"/>
          <w:szCs w:val="32"/>
        </w:rPr>
        <w:t>建议在</w:t>
      </w:r>
      <w:r>
        <w:rPr>
          <w:rFonts w:ascii="仿宋" w:hAnsi="仿宋" w:eastAsia="仿宋"/>
          <w:b/>
          <w:sz w:val="32"/>
          <w:szCs w:val="32"/>
        </w:rPr>
        <w:t>2026</w:t>
      </w:r>
      <w:r>
        <w:rPr>
          <w:rFonts w:hint="eastAsia" w:ascii="仿宋" w:hAnsi="仿宋" w:eastAsia="仿宋"/>
          <w:b/>
          <w:sz w:val="32"/>
          <w:szCs w:val="32"/>
        </w:rPr>
        <w:t>年1月1</w:t>
      </w:r>
      <w:r>
        <w:rPr>
          <w:rFonts w:ascii="仿宋" w:hAnsi="仿宋" w:eastAsia="仿宋"/>
          <w:b/>
          <w:sz w:val="32"/>
          <w:szCs w:val="32"/>
        </w:rPr>
        <w:t>4</w:t>
      </w:r>
      <w:r>
        <w:rPr>
          <w:rFonts w:hint="eastAsia" w:ascii="仿宋" w:hAnsi="仿宋" w:eastAsia="仿宋"/>
          <w:b/>
          <w:sz w:val="32"/>
          <w:szCs w:val="32"/>
        </w:rPr>
        <w:t>前发布学院初赛通知，明确赛道规则、组别划分</w:t>
      </w:r>
      <w:r>
        <w:rPr>
          <w:rFonts w:ascii="仿宋" w:hAnsi="仿宋" w:eastAsia="仿宋"/>
          <w:b/>
          <w:sz w:val="32"/>
          <w:szCs w:val="32"/>
        </w:rPr>
        <w:t>、材料要求与时间节点。</w:t>
      </w:r>
    </w:p>
    <w:p w14:paraId="0BE0FEBE">
      <w:pPr>
        <w:adjustRightInd w:val="0"/>
        <w:snapToGrid w:val="0"/>
        <w:spacing w:line="5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重点提醒：</w:t>
      </w:r>
    </w:p>
    <w:p w14:paraId="5725F5C6">
      <w:pPr>
        <w:adjustRightInd w:val="0"/>
        <w:snapToGrid w:val="0"/>
        <w:spacing w:line="5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（1）跨校团队需明确唯一代表学校；</w:t>
      </w:r>
    </w:p>
    <w:p w14:paraId="1E919F3B">
      <w:pPr>
        <w:adjustRightInd w:val="0"/>
        <w:snapToGrid w:val="0"/>
        <w:spacing w:line="5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（2）往届国赛金银奖项目不得重复参赛；</w:t>
      </w:r>
    </w:p>
    <w:p w14:paraId="02DE40AD">
      <w:pPr>
        <w:adjustRightInd w:val="0"/>
        <w:snapToGrid w:val="0"/>
        <w:spacing w:line="5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（3）项目负责人和指导教师确定后不能更换；</w:t>
      </w:r>
    </w:p>
    <w:p w14:paraId="6E018DBF">
      <w:pPr>
        <w:adjustRightInd w:val="0"/>
        <w:snapToGrid w:val="0"/>
        <w:spacing w:line="5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（4）参赛团队必须提供完整的项目PPT、创业计划书。</w:t>
      </w:r>
    </w:p>
    <w:p w14:paraId="5E7EB3D6">
      <w:pPr>
        <w:adjustRightInd w:val="0"/>
        <w:snapToGrid w:val="0"/>
        <w:spacing w:line="500" w:lineRule="exact"/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2</w:t>
      </w:r>
      <w:r>
        <w:rPr>
          <w:rFonts w:ascii="仿宋" w:hAnsi="仿宋" w:eastAsia="仿宋"/>
          <w:b/>
          <w:sz w:val="32"/>
          <w:szCs w:val="32"/>
        </w:rPr>
        <w:t>.</w:t>
      </w:r>
      <w:r>
        <w:rPr>
          <w:rFonts w:hint="eastAsia" w:ascii="仿宋" w:hAnsi="仿宋" w:eastAsia="仿宋"/>
          <w:b/>
          <w:sz w:val="32"/>
          <w:szCs w:val="32"/>
        </w:rPr>
        <w:t>动员师生参赛，挖掘有潜力项目，有针对性地动员教师和学生参赛，让师生了解大赛的意义和价值。</w:t>
      </w:r>
    </w:p>
    <w:p w14:paraId="7A25EBBB">
      <w:pPr>
        <w:adjustRightInd w:val="0"/>
        <w:snapToGrid w:val="0"/>
        <w:spacing w:line="5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重点关注：</w:t>
      </w:r>
    </w:p>
    <w:p w14:paraId="75103DD8">
      <w:pPr>
        <w:adjustRightInd w:val="0"/>
        <w:snapToGrid w:val="0"/>
        <w:spacing w:line="5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（1）科研成果丰硕的</w:t>
      </w:r>
      <w:r>
        <w:rPr>
          <w:rFonts w:ascii="仿宋" w:hAnsi="仿宋" w:eastAsia="仿宋"/>
          <w:sz w:val="32"/>
          <w:szCs w:val="32"/>
        </w:rPr>
        <w:t>学科带头人</w:t>
      </w:r>
      <w:r>
        <w:rPr>
          <w:rFonts w:hint="eastAsia" w:ascii="仿宋" w:hAnsi="仿宋" w:eastAsia="仿宋"/>
          <w:sz w:val="32"/>
          <w:szCs w:val="32"/>
        </w:rPr>
        <w:t>，有创新创业项目经验的新进博士教师，组建涵盖专业教师和辅导员的大赛教练组。</w:t>
      </w:r>
    </w:p>
    <w:p w14:paraId="6A16A478">
      <w:pPr>
        <w:adjustRightInd w:val="0"/>
        <w:snapToGrid w:val="0"/>
        <w:spacing w:line="5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（2）已有科研成果产出的在校学生，有家族企业背景的在校学生，毕业五年内自主创业的校友，具有国外高校学籍的在校生和校友。</w:t>
      </w:r>
    </w:p>
    <w:p w14:paraId="2805E826">
      <w:pPr>
        <w:adjustRightInd w:val="0"/>
        <w:snapToGrid w:val="0"/>
        <w:spacing w:line="5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（3）组建涵盖</w:t>
      </w:r>
      <w:r>
        <w:rPr>
          <w:rFonts w:ascii="仿宋" w:hAnsi="仿宋" w:eastAsia="仿宋"/>
          <w:sz w:val="32"/>
          <w:szCs w:val="32"/>
        </w:rPr>
        <w:t>行业专家、创业导师</w:t>
      </w:r>
      <w:r>
        <w:rPr>
          <w:rFonts w:hint="eastAsia" w:ascii="仿宋" w:hAnsi="仿宋" w:eastAsia="仿宋"/>
          <w:sz w:val="32"/>
          <w:szCs w:val="32"/>
        </w:rPr>
        <w:t>、大赛评委在内的专家评审组</w:t>
      </w:r>
      <w:r>
        <w:rPr>
          <w:rFonts w:ascii="仿宋" w:hAnsi="仿宋" w:eastAsia="仿宋"/>
          <w:sz w:val="32"/>
          <w:szCs w:val="32"/>
        </w:rPr>
        <w:t>参与，提升评审</w:t>
      </w:r>
      <w:r>
        <w:rPr>
          <w:rFonts w:hint="eastAsia" w:ascii="仿宋" w:hAnsi="仿宋" w:eastAsia="仿宋"/>
          <w:sz w:val="32"/>
          <w:szCs w:val="32"/>
        </w:rPr>
        <w:t>客观性和</w:t>
      </w:r>
      <w:r>
        <w:rPr>
          <w:rFonts w:ascii="仿宋" w:hAnsi="仿宋" w:eastAsia="仿宋"/>
          <w:sz w:val="32"/>
          <w:szCs w:val="32"/>
        </w:rPr>
        <w:t>专业性。</w:t>
      </w:r>
    </w:p>
    <w:p w14:paraId="0BA56CC7">
      <w:pPr>
        <w:adjustRightInd w:val="0"/>
        <w:snapToGrid w:val="0"/>
        <w:spacing w:line="500" w:lineRule="exact"/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ascii="仿宋" w:hAnsi="仿宋" w:eastAsia="仿宋"/>
          <w:b/>
          <w:sz w:val="32"/>
          <w:szCs w:val="32"/>
        </w:rPr>
        <w:t>3.</w:t>
      </w:r>
      <w:r>
        <w:rPr>
          <w:rFonts w:hint="eastAsia" w:ascii="仿宋" w:hAnsi="仿宋" w:eastAsia="仿宋"/>
          <w:b/>
          <w:sz w:val="32"/>
          <w:szCs w:val="32"/>
        </w:rPr>
        <w:t>建议充分寒假</w:t>
      </w:r>
      <w:r>
        <w:rPr>
          <w:rFonts w:ascii="仿宋" w:hAnsi="仿宋" w:eastAsia="仿宋"/>
          <w:b/>
          <w:sz w:val="32"/>
          <w:szCs w:val="32"/>
        </w:rPr>
        <w:t>提供赛前辅导</w:t>
      </w:r>
      <w:r>
        <w:rPr>
          <w:rFonts w:hint="eastAsia" w:ascii="仿宋" w:hAnsi="仿宋" w:eastAsia="仿宋"/>
          <w:b/>
          <w:sz w:val="32"/>
          <w:szCs w:val="32"/>
        </w:rPr>
        <w:t>，</w:t>
      </w:r>
      <w:r>
        <w:rPr>
          <w:rFonts w:ascii="仿宋" w:hAnsi="仿宋" w:eastAsia="仿宋"/>
          <w:b/>
          <w:sz w:val="32"/>
          <w:szCs w:val="32"/>
        </w:rPr>
        <w:t>组织商业计划书撰写、PPT 制作、路演技巧等培训，助力项目打磨。</w:t>
      </w:r>
    </w:p>
    <w:p w14:paraId="0B1AB514">
      <w:pPr>
        <w:adjustRightInd w:val="0"/>
        <w:snapToGrid w:val="0"/>
        <w:spacing w:line="5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重点提醒：</w:t>
      </w:r>
    </w:p>
    <w:p w14:paraId="57592F79">
      <w:pPr>
        <w:adjustRightInd w:val="0"/>
        <w:snapToGrid w:val="0"/>
        <w:spacing w:line="5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（1）有潜力项目可以邀请专家重点一对一辅导。</w:t>
      </w:r>
    </w:p>
    <w:p w14:paraId="51C98F7F">
      <w:pPr>
        <w:adjustRightInd w:val="0"/>
        <w:snapToGrid w:val="0"/>
        <w:spacing w:line="5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（2）充分利用线上免费资源，可关注公众号：米有校园。</w:t>
      </w:r>
    </w:p>
    <w:p w14:paraId="0547A66C">
      <w:pPr>
        <w:adjustRightInd w:val="0"/>
        <w:snapToGrid w:val="0"/>
        <w:spacing w:line="5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（3）参赛项目在寒假期间完成项目PPT和计划书制作。</w:t>
      </w:r>
    </w:p>
    <w:p w14:paraId="69D9943B">
      <w:pPr>
        <w:adjustRightInd w:val="0"/>
        <w:snapToGrid w:val="0"/>
        <w:spacing w:line="500" w:lineRule="exact"/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4</w:t>
      </w:r>
      <w:r>
        <w:rPr>
          <w:rFonts w:ascii="仿宋" w:hAnsi="仿宋" w:eastAsia="仿宋"/>
          <w:b/>
          <w:sz w:val="32"/>
          <w:szCs w:val="32"/>
        </w:rPr>
        <w:t>.</w:t>
      </w:r>
      <w:r>
        <w:rPr>
          <w:rFonts w:hint="eastAsia" w:ascii="仿宋" w:hAnsi="仿宋" w:eastAsia="仿宋"/>
          <w:b/>
          <w:sz w:val="32"/>
          <w:szCs w:val="32"/>
        </w:rPr>
        <w:t>建议在</w:t>
      </w:r>
      <w:r>
        <w:rPr>
          <w:rFonts w:ascii="仿宋" w:hAnsi="仿宋" w:eastAsia="仿宋"/>
          <w:b/>
          <w:sz w:val="32"/>
          <w:szCs w:val="32"/>
        </w:rPr>
        <w:t>2026</w:t>
      </w:r>
      <w:r>
        <w:rPr>
          <w:rFonts w:hint="eastAsia" w:ascii="仿宋" w:hAnsi="仿宋" w:eastAsia="仿宋"/>
          <w:b/>
          <w:sz w:val="32"/>
          <w:szCs w:val="32"/>
        </w:rPr>
        <w:t>年</w:t>
      </w:r>
      <w:r>
        <w:rPr>
          <w:rFonts w:ascii="仿宋" w:hAnsi="仿宋" w:eastAsia="仿宋"/>
          <w:b/>
          <w:sz w:val="32"/>
          <w:szCs w:val="32"/>
        </w:rPr>
        <w:t>3</w:t>
      </w:r>
      <w:r>
        <w:rPr>
          <w:rFonts w:hint="eastAsia" w:ascii="仿宋" w:hAnsi="仿宋" w:eastAsia="仿宋"/>
          <w:b/>
          <w:sz w:val="32"/>
          <w:szCs w:val="32"/>
        </w:rPr>
        <w:t>月1</w:t>
      </w:r>
      <w:r>
        <w:rPr>
          <w:rFonts w:ascii="仿宋" w:hAnsi="仿宋" w:eastAsia="仿宋"/>
          <w:b/>
          <w:sz w:val="32"/>
          <w:szCs w:val="32"/>
        </w:rPr>
        <w:t>7</w:t>
      </w:r>
      <w:r>
        <w:rPr>
          <w:rFonts w:hint="eastAsia" w:ascii="仿宋" w:hAnsi="仿宋" w:eastAsia="仿宋"/>
          <w:b/>
          <w:sz w:val="32"/>
          <w:szCs w:val="32"/>
        </w:rPr>
        <w:t>日前，结合线上网评和现场路演两种形式开展初赛，综合考察项目情况</w:t>
      </w:r>
      <w:r>
        <w:rPr>
          <w:rFonts w:ascii="仿宋" w:hAnsi="仿宋" w:eastAsia="仿宋"/>
          <w:b/>
          <w:sz w:val="32"/>
          <w:szCs w:val="32"/>
        </w:rPr>
        <w:t>，按赛道排序，</w:t>
      </w:r>
      <w:r>
        <w:rPr>
          <w:rFonts w:hint="eastAsia" w:ascii="仿宋" w:hAnsi="仿宋" w:eastAsia="仿宋"/>
          <w:b/>
          <w:sz w:val="32"/>
          <w:szCs w:val="32"/>
        </w:rPr>
        <w:t>公示并</w:t>
      </w:r>
      <w:r>
        <w:rPr>
          <w:rFonts w:ascii="仿宋" w:hAnsi="仿宋" w:eastAsia="仿宋"/>
          <w:b/>
          <w:sz w:val="32"/>
          <w:szCs w:val="32"/>
        </w:rPr>
        <w:t>确定推荐名单</w:t>
      </w:r>
      <w:r>
        <w:rPr>
          <w:rFonts w:hint="eastAsia" w:ascii="仿宋" w:hAnsi="仿宋" w:eastAsia="仿宋"/>
          <w:b/>
          <w:sz w:val="32"/>
          <w:szCs w:val="32"/>
        </w:rPr>
        <w:t>。</w:t>
      </w:r>
    </w:p>
    <w:p w14:paraId="31AD22AB">
      <w:pPr>
        <w:adjustRightInd w:val="0"/>
        <w:snapToGrid w:val="0"/>
        <w:spacing w:line="5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重点关注：</w:t>
      </w:r>
    </w:p>
    <w:p w14:paraId="37DB3A89">
      <w:pPr>
        <w:adjustRightInd w:val="0"/>
        <w:snapToGrid w:val="0"/>
        <w:spacing w:line="5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（1）材料评审（网评）：组织</w:t>
      </w:r>
      <w:r>
        <w:rPr>
          <w:rFonts w:ascii="仿宋" w:hAnsi="仿宋" w:eastAsia="仿宋"/>
          <w:sz w:val="32"/>
          <w:szCs w:val="32"/>
        </w:rPr>
        <w:t>3-5名专家对PPT</w:t>
      </w:r>
      <w:r>
        <w:rPr>
          <w:rFonts w:hint="eastAsia" w:ascii="仿宋" w:hAnsi="仿宋" w:eastAsia="仿宋"/>
          <w:sz w:val="32"/>
          <w:szCs w:val="32"/>
        </w:rPr>
        <w:t>和商业计划书</w:t>
      </w:r>
      <w:r>
        <w:rPr>
          <w:rFonts w:ascii="仿宋" w:hAnsi="仿宋" w:eastAsia="仿宋"/>
          <w:sz w:val="32"/>
          <w:szCs w:val="32"/>
        </w:rPr>
        <w:t>进行盲审，审查</w:t>
      </w:r>
      <w:r>
        <w:rPr>
          <w:rFonts w:hint="eastAsia" w:ascii="仿宋" w:hAnsi="仿宋" w:eastAsia="仿宋"/>
          <w:sz w:val="32"/>
          <w:szCs w:val="32"/>
        </w:rPr>
        <w:t>项目</w:t>
      </w:r>
      <w:r>
        <w:rPr>
          <w:rFonts w:ascii="仿宋" w:hAnsi="仿宋" w:eastAsia="仿宋"/>
          <w:sz w:val="32"/>
          <w:szCs w:val="32"/>
        </w:rPr>
        <w:t>参赛资格、材料完整性、知识产权合规性</w:t>
      </w:r>
      <w:r>
        <w:rPr>
          <w:rFonts w:hint="eastAsia" w:ascii="仿宋" w:hAnsi="仿宋" w:eastAsia="仿宋"/>
          <w:sz w:val="32"/>
          <w:szCs w:val="32"/>
        </w:rPr>
        <w:t>，</w:t>
      </w:r>
      <w:r>
        <w:rPr>
          <w:rFonts w:ascii="仿宋" w:hAnsi="仿宋" w:eastAsia="仿宋"/>
          <w:sz w:val="32"/>
          <w:szCs w:val="32"/>
        </w:rPr>
        <w:t>按评分指标打分，取平均分排序。</w:t>
      </w:r>
    </w:p>
    <w:p w14:paraId="725A0FCB">
      <w:pPr>
        <w:adjustRightInd w:val="0"/>
        <w:snapToGrid w:val="0"/>
        <w:spacing w:line="5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（2）现场答辩：采用</w:t>
      </w:r>
      <w:r>
        <w:rPr>
          <w:rFonts w:ascii="仿宋" w:hAnsi="仿宋" w:eastAsia="仿宋"/>
          <w:sz w:val="32"/>
          <w:szCs w:val="32"/>
        </w:rPr>
        <w:t>“5+3”模式（5分钟项目陈述+3分钟答辩），可结合实物展示，重点考察团队表达与应变能力。</w:t>
      </w:r>
    </w:p>
    <w:p w14:paraId="084327DC">
      <w:pPr>
        <w:adjustRightInd w:val="0"/>
        <w:snapToGrid w:val="0"/>
        <w:spacing w:line="5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（3）注意保存初赛照片和文字台账资料，在学院范围内</w:t>
      </w:r>
      <w:r>
        <w:rPr>
          <w:rFonts w:ascii="仿宋" w:hAnsi="仿宋" w:eastAsia="仿宋"/>
          <w:sz w:val="32"/>
          <w:szCs w:val="32"/>
        </w:rPr>
        <w:t>公示推荐项目，</w:t>
      </w:r>
      <w:bookmarkStart w:id="0" w:name="OLE_LINK3"/>
      <w:bookmarkStart w:id="1" w:name="OLE_LINK2"/>
      <w:r>
        <w:rPr>
          <w:rFonts w:ascii="仿宋" w:hAnsi="仿宋" w:eastAsia="仿宋"/>
          <w:sz w:val="32"/>
          <w:szCs w:val="32"/>
        </w:rPr>
        <w:t>公示期≥3个工作日</w:t>
      </w:r>
      <w:bookmarkEnd w:id="0"/>
      <w:bookmarkEnd w:id="1"/>
      <w:r>
        <w:rPr>
          <w:rFonts w:hint="eastAsia" w:ascii="仿宋" w:hAnsi="仿宋" w:eastAsia="仿宋"/>
          <w:sz w:val="32"/>
          <w:szCs w:val="32"/>
        </w:rPr>
        <w:t>。</w:t>
      </w:r>
    </w:p>
    <w:p w14:paraId="46B0CC41">
      <w:pPr>
        <w:adjustRightInd w:val="0"/>
        <w:snapToGrid w:val="0"/>
        <w:spacing w:line="500" w:lineRule="exact"/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5</w:t>
      </w:r>
      <w:r>
        <w:rPr>
          <w:rFonts w:ascii="仿宋" w:hAnsi="仿宋" w:eastAsia="仿宋"/>
          <w:b/>
          <w:sz w:val="32"/>
          <w:szCs w:val="32"/>
        </w:rPr>
        <w:t>.2026</w:t>
      </w:r>
      <w:r>
        <w:rPr>
          <w:rFonts w:hint="eastAsia" w:ascii="仿宋" w:hAnsi="仿宋" w:eastAsia="仿宋"/>
          <w:b/>
          <w:sz w:val="32"/>
          <w:szCs w:val="32"/>
        </w:rPr>
        <w:t>年</w:t>
      </w:r>
      <w:r>
        <w:rPr>
          <w:rFonts w:ascii="仿宋" w:hAnsi="仿宋" w:eastAsia="仿宋"/>
          <w:b/>
          <w:sz w:val="32"/>
          <w:szCs w:val="32"/>
        </w:rPr>
        <w:t>3月23日前</w:t>
      </w:r>
      <w:r>
        <w:rPr>
          <w:rFonts w:hint="eastAsia" w:ascii="仿宋" w:hAnsi="仿宋" w:eastAsia="仿宋"/>
          <w:b/>
          <w:sz w:val="32"/>
          <w:szCs w:val="32"/>
        </w:rPr>
        <w:t>，</w:t>
      </w:r>
      <w:r>
        <w:rPr>
          <w:rFonts w:ascii="仿宋" w:hAnsi="仿宋" w:eastAsia="仿宋"/>
          <w:b/>
          <w:sz w:val="32"/>
          <w:szCs w:val="32"/>
        </w:rPr>
        <w:t>向创业学院提交</w:t>
      </w:r>
      <w:r>
        <w:rPr>
          <w:rFonts w:hint="eastAsia" w:ascii="仿宋" w:hAnsi="仿宋" w:eastAsia="仿宋"/>
          <w:b/>
          <w:sz w:val="32"/>
          <w:szCs w:val="32"/>
        </w:rPr>
        <w:t>相关材料。</w:t>
      </w:r>
    </w:p>
    <w:p w14:paraId="0507E2DD">
      <w:pPr>
        <w:adjustRightInd w:val="0"/>
        <w:snapToGrid w:val="0"/>
        <w:spacing w:line="5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清单如下：</w:t>
      </w:r>
    </w:p>
    <w:p w14:paraId="4E01DA8E">
      <w:pPr>
        <w:adjustRightInd w:val="0"/>
        <w:snapToGrid w:val="0"/>
        <w:spacing w:line="5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（1）附件4</w:t>
      </w:r>
      <w:r>
        <w:rPr>
          <w:rFonts w:ascii="仿宋" w:hAnsi="仿宋" w:eastAsia="仿宋"/>
          <w:sz w:val="32"/>
          <w:szCs w:val="32"/>
        </w:rPr>
        <w:t>汇总表</w:t>
      </w:r>
      <w:r>
        <w:rPr>
          <w:rFonts w:hint="eastAsia" w:ascii="仿宋" w:hAnsi="仿宋" w:eastAsia="仿宋"/>
          <w:sz w:val="32"/>
          <w:szCs w:val="32"/>
        </w:rPr>
        <w:t>可包括全部初赛项目情况，必须</w:t>
      </w:r>
      <w:r>
        <w:rPr>
          <w:rFonts w:ascii="仿宋" w:hAnsi="仿宋" w:eastAsia="仿宋"/>
          <w:sz w:val="32"/>
          <w:szCs w:val="32"/>
        </w:rPr>
        <w:t>按</w:t>
      </w:r>
      <w:r>
        <w:rPr>
          <w:rFonts w:hint="eastAsia" w:ascii="仿宋" w:hAnsi="仿宋" w:eastAsia="仿宋"/>
          <w:sz w:val="32"/>
          <w:szCs w:val="32"/>
        </w:rPr>
        <w:t>初赛成绩排序</w:t>
      </w:r>
      <w:r>
        <w:rPr>
          <w:rFonts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</w:rPr>
        <w:t>排名前</w:t>
      </w:r>
      <w:r>
        <w:rPr>
          <w:rFonts w:ascii="仿宋" w:hAnsi="仿宋" w:eastAsia="仿宋"/>
          <w:sz w:val="32"/>
          <w:szCs w:val="32"/>
        </w:rPr>
        <w:t>30%的项目进入网评</w:t>
      </w:r>
      <w:r>
        <w:rPr>
          <w:rFonts w:hint="eastAsia" w:ascii="仿宋" w:hAnsi="仿宋" w:eastAsia="仿宋"/>
          <w:sz w:val="32"/>
          <w:szCs w:val="32"/>
        </w:rPr>
        <w:t>，</w:t>
      </w:r>
      <w:r>
        <w:rPr>
          <w:rFonts w:ascii="仿宋" w:hAnsi="仿宋" w:eastAsia="仿宋"/>
          <w:sz w:val="32"/>
          <w:szCs w:val="32"/>
        </w:rPr>
        <w:t>负责人、指导老师、联系方式</w:t>
      </w:r>
      <w:r>
        <w:rPr>
          <w:rFonts w:hint="eastAsia" w:ascii="仿宋" w:hAnsi="仿宋" w:eastAsia="仿宋"/>
          <w:sz w:val="32"/>
          <w:szCs w:val="32"/>
        </w:rPr>
        <w:t>信息要准确，不能随意更换；</w:t>
      </w:r>
    </w:p>
    <w:p w14:paraId="67C8616C">
      <w:pPr>
        <w:widowControl/>
        <w:adjustRightInd w:val="0"/>
        <w:snapToGrid w:val="0"/>
        <w:spacing w:line="500" w:lineRule="exact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Arial"/>
          <w:color w:val="1F2329"/>
          <w:kern w:val="0"/>
          <w:sz w:val="32"/>
          <w:szCs w:val="32"/>
        </w:rPr>
        <w:t>（2）凡在汇总表中项目必须提供完整的</w:t>
      </w:r>
      <w:r>
        <w:rPr>
          <w:rFonts w:ascii="仿宋" w:hAnsi="仿宋" w:eastAsia="仿宋"/>
          <w:sz w:val="32"/>
          <w:szCs w:val="32"/>
        </w:rPr>
        <w:t>项目PPT、</w:t>
      </w:r>
      <w:r>
        <w:rPr>
          <w:rFonts w:hint="eastAsia" w:ascii="仿宋" w:hAnsi="仿宋" w:eastAsia="仿宋"/>
          <w:sz w:val="32"/>
          <w:szCs w:val="32"/>
        </w:rPr>
        <w:t>商业</w:t>
      </w:r>
      <w:r>
        <w:rPr>
          <w:rFonts w:ascii="仿宋" w:hAnsi="仿宋" w:eastAsia="仿宋"/>
          <w:sz w:val="32"/>
          <w:szCs w:val="32"/>
        </w:rPr>
        <w:t>计划书</w:t>
      </w:r>
      <w:r>
        <w:rPr>
          <w:rFonts w:hint="eastAsia" w:ascii="仿宋" w:hAnsi="仿宋" w:eastAsia="仿宋"/>
          <w:sz w:val="32"/>
          <w:szCs w:val="32"/>
        </w:rPr>
        <w:t>PDF</w:t>
      </w:r>
      <w:r>
        <w:rPr>
          <w:rFonts w:ascii="仿宋" w:hAnsi="仿宋" w:eastAsia="仿宋"/>
          <w:sz w:val="32"/>
          <w:szCs w:val="32"/>
        </w:rPr>
        <w:t>电子稿</w:t>
      </w:r>
      <w:r>
        <w:rPr>
          <w:rFonts w:hint="eastAsia" w:ascii="仿宋" w:hAnsi="仿宋" w:eastAsia="仿宋"/>
          <w:sz w:val="32"/>
          <w:szCs w:val="32"/>
        </w:rPr>
        <w:t>，</w:t>
      </w:r>
      <w:r>
        <w:rPr>
          <w:rFonts w:ascii="仿宋" w:hAnsi="仿宋" w:eastAsia="仿宋"/>
          <w:sz w:val="32"/>
          <w:szCs w:val="32"/>
        </w:rPr>
        <w:t>每个项目建文件夹，命名</w:t>
      </w:r>
      <w:r>
        <w:rPr>
          <w:rFonts w:hint="eastAsia" w:ascii="仿宋" w:hAnsi="仿宋" w:eastAsia="仿宋"/>
          <w:sz w:val="32"/>
          <w:szCs w:val="32"/>
        </w:rPr>
        <w:t>为“</w:t>
      </w:r>
      <w:r>
        <w:rPr>
          <w:rFonts w:ascii="仿宋" w:hAnsi="仿宋" w:eastAsia="仿宋"/>
          <w:sz w:val="32"/>
          <w:szCs w:val="32"/>
        </w:rPr>
        <w:t>学院+项目全称+指导老师+学生负责人</w:t>
      </w:r>
      <w:r>
        <w:rPr>
          <w:rFonts w:hint="eastAsia" w:ascii="仿宋" w:hAnsi="仿宋" w:eastAsia="仿宋"/>
          <w:sz w:val="32"/>
          <w:szCs w:val="32"/>
        </w:rPr>
        <w:t>”。</w:t>
      </w:r>
    </w:p>
    <w:p w14:paraId="38FDCD23">
      <w:pPr>
        <w:widowControl/>
        <w:adjustRightInd w:val="0"/>
        <w:snapToGrid w:val="0"/>
        <w:spacing w:line="500" w:lineRule="exact"/>
        <w:ind w:firstLine="640" w:firstLineChars="200"/>
        <w:jc w:val="left"/>
        <w:rPr>
          <w:rFonts w:ascii="仿宋" w:hAnsi="仿宋" w:eastAsia="仿宋" w:cs="Arial"/>
          <w:color w:val="1F2329"/>
          <w:kern w:val="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（3）报送纸质签字盖章的汇总表。</w:t>
      </w:r>
    </w:p>
    <w:p w14:paraId="5CE55A08">
      <w:pPr>
        <w:adjustRightInd w:val="0"/>
        <w:snapToGrid w:val="0"/>
        <w:spacing w:line="500" w:lineRule="exact"/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二、网评流程</w:t>
      </w:r>
    </w:p>
    <w:p w14:paraId="19EE8ACC">
      <w:pPr>
        <w:adjustRightInd w:val="0"/>
        <w:snapToGrid w:val="0"/>
        <w:spacing w:line="5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对进入校赛网评的各项目材料进行回避处理，不出现指导教师信息，各项目文件夹序号需与评分表中的序号一致。</w:t>
      </w:r>
    </w:p>
    <w:p w14:paraId="02300319">
      <w:pPr>
        <w:adjustRightInd w:val="0"/>
        <w:snapToGrid w:val="0"/>
        <w:spacing w:line="5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在专家库中选择3</w:t>
      </w:r>
      <w:r>
        <w:rPr>
          <w:rFonts w:ascii="仿宋" w:hAnsi="仿宋" w:eastAsia="仿宋"/>
          <w:sz w:val="32"/>
          <w:szCs w:val="32"/>
        </w:rPr>
        <w:t>-5</w:t>
      </w:r>
      <w:r>
        <w:rPr>
          <w:rFonts w:hint="eastAsia" w:ascii="仿宋" w:hAnsi="仿宋" w:eastAsia="仿宋"/>
          <w:sz w:val="32"/>
          <w:szCs w:val="32"/>
        </w:rPr>
        <w:t>位行业专家、投资人、高校专家等组成网评专家组，向专家发送校赛网评资料。</w:t>
      </w:r>
    </w:p>
    <w:p w14:paraId="32C0CA21">
      <w:pPr>
        <w:adjustRightInd w:val="0"/>
        <w:snapToGrid w:val="0"/>
        <w:spacing w:line="5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搜集专家评分表，取平均分计入网评成绩，并且向各团队反馈网评专家意见，网评成绩前2</w:t>
      </w:r>
      <w:r>
        <w:rPr>
          <w:rFonts w:ascii="仿宋" w:hAnsi="仿宋" w:eastAsia="仿宋"/>
          <w:sz w:val="32"/>
          <w:szCs w:val="32"/>
        </w:rPr>
        <w:t>0</w:t>
      </w:r>
      <w:r>
        <w:rPr>
          <w:rFonts w:hint="eastAsia" w:ascii="仿宋" w:hAnsi="仿宋" w:eastAsia="仿宋"/>
          <w:sz w:val="32"/>
          <w:szCs w:val="32"/>
        </w:rPr>
        <w:t>进入校赛决赛。</w:t>
      </w:r>
    </w:p>
    <w:p w14:paraId="3E3BDC3C">
      <w:pPr>
        <w:adjustRightInd w:val="0"/>
        <w:snapToGrid w:val="0"/>
        <w:spacing w:line="5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在创业学院网站公示进入校赛决赛的项目名单，公示期≥</w:t>
      </w:r>
      <w:r>
        <w:rPr>
          <w:rFonts w:ascii="仿宋" w:hAnsi="仿宋" w:eastAsia="仿宋"/>
          <w:sz w:val="32"/>
          <w:szCs w:val="32"/>
        </w:rPr>
        <w:t>3个工作日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193CA31D">
      <w:pPr>
        <w:adjustRightInd w:val="0"/>
        <w:snapToGrid w:val="0"/>
        <w:spacing w:line="500" w:lineRule="exact"/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三、决赛流程</w:t>
      </w:r>
    </w:p>
    <w:p w14:paraId="13CC28E9">
      <w:pPr>
        <w:adjustRightInd w:val="0"/>
        <w:snapToGrid w:val="0"/>
        <w:spacing w:line="5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邀请各团队指导教师和负责人加入校赛决赛群，根据各项目的情况邀请专家进行项目路演指导。</w:t>
      </w:r>
    </w:p>
    <w:p w14:paraId="096AFC6B">
      <w:pPr>
        <w:adjustRightInd w:val="0"/>
        <w:snapToGrid w:val="0"/>
        <w:spacing w:line="5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匿名邀请决赛现场评审专家，申请和布置决赛场地，组织各团队抽签、拷PPT，以及现场路演等工作。</w:t>
      </w:r>
    </w:p>
    <w:p w14:paraId="5D50A8EC">
      <w:pPr>
        <w:adjustRightInd w:val="0"/>
        <w:snapToGrid w:val="0"/>
        <w:spacing w:line="5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现场公布各项目的得分情况，并且结合网评成绩得出最终排名，确定决赛金、银、铜奖。</w:t>
      </w:r>
    </w:p>
    <w:p w14:paraId="781CD1C7">
      <w:pPr>
        <w:adjustRightInd w:val="0"/>
        <w:snapToGrid w:val="0"/>
        <w:spacing w:line="5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4.</w:t>
      </w:r>
      <w:r>
        <w:rPr>
          <w:rFonts w:hint="eastAsia" w:ascii="仿宋" w:hAnsi="仿宋" w:eastAsia="仿宋"/>
          <w:sz w:val="32"/>
          <w:szCs w:val="32"/>
        </w:rPr>
        <w:t>在创业学院网站公示决赛项目获奖情况，公示期≥</w:t>
      </w:r>
      <w:r>
        <w:rPr>
          <w:rFonts w:ascii="仿宋" w:hAnsi="仿宋" w:eastAsia="仿宋"/>
          <w:sz w:val="32"/>
          <w:szCs w:val="32"/>
        </w:rPr>
        <w:t>3个工作日。</w:t>
      </w:r>
    </w:p>
    <w:p w14:paraId="2EA5D00F">
      <w:pPr>
        <w:adjustRightInd w:val="0"/>
        <w:snapToGrid w:val="0"/>
        <w:spacing w:line="50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光大标宋_CNKI">
    <w:altName w:val="宋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ECA"/>
    <w:rsid w:val="00020988"/>
    <w:rsid w:val="00056B89"/>
    <w:rsid w:val="000D4624"/>
    <w:rsid w:val="000F48C7"/>
    <w:rsid w:val="001C4A74"/>
    <w:rsid w:val="00225FFB"/>
    <w:rsid w:val="002304B9"/>
    <w:rsid w:val="002E5859"/>
    <w:rsid w:val="00316A0B"/>
    <w:rsid w:val="00344542"/>
    <w:rsid w:val="003B7131"/>
    <w:rsid w:val="0056318E"/>
    <w:rsid w:val="00731407"/>
    <w:rsid w:val="007341D3"/>
    <w:rsid w:val="008748AD"/>
    <w:rsid w:val="008A4ECA"/>
    <w:rsid w:val="008A5C3D"/>
    <w:rsid w:val="009C15EA"/>
    <w:rsid w:val="009F7BDD"/>
    <w:rsid w:val="00A27FA0"/>
    <w:rsid w:val="00BF557F"/>
    <w:rsid w:val="00CA1577"/>
    <w:rsid w:val="00CA52CE"/>
    <w:rsid w:val="00CA7C86"/>
    <w:rsid w:val="00D44783"/>
    <w:rsid w:val="3878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link w:val="10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paragraph" w:styleId="3">
    <w:name w:val="heading 3"/>
    <w:basedOn w:val="1"/>
    <w:link w:val="11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2 字符"/>
    <w:basedOn w:val="7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1">
    <w:name w:val="标题 3 字符"/>
    <w:basedOn w:val="7"/>
    <w:link w:val="3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1314</Words>
  <Characters>1364</Characters>
  <Lines>9</Lines>
  <Paragraphs>2</Paragraphs>
  <TotalTime>92</TotalTime>
  <ScaleCrop>false</ScaleCrop>
  <LinksUpToDate>false</LinksUpToDate>
  <CharactersWithSpaces>1365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2026-01-07T08:28:00Z</dcterms:created>
  <dc:creator>Dell</dc:creator>
  <cp:lastModifiedBy>Stone</cp:lastModifiedBy>
  <dcterms:modified xsi:type="dcterms:W3CDTF">2026-01-08T03:08:38Z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eyJoZGlkIjoiNWI0ZTMyMjMwMGYxZjJmNjFlYWU0ZDNjNTU1YWU3N2QiLCJ1c2VySWQiOiIzMDMxNDIxOTkifQ==</vt:lpwstr>
  </property>
  <property fmtid="{D5CDD505-2E9C-101B-9397-08002B2CF9AE}" pid="3" name="KSOProductBuildVer">
    <vt:lpwstr>2052-12.1.0.24034</vt:lpwstr>
  </property>
  <property fmtid="{D5CDD505-2E9C-101B-9397-08002B2CF9AE}" pid="4" name="ICV">
    <vt:lpwstr>26EED2296B2D49B4A260311BF9232C4D_12</vt:lpwstr>
  </property>
</Properties>
</file>